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921D" w14:textId="629B9881" w:rsidR="005F0D0C" w:rsidRDefault="005235C3">
      <w:pPr>
        <w:keepNext/>
        <w:spacing w:after="0" w:line="240" w:lineRule="auto"/>
        <w:outlineLvl w:val="1"/>
      </w:pPr>
      <w:bookmarkStart w:id="0" w:name="d0e1"/>
      <w:r>
        <w:rPr>
          <w:rFonts w:ascii="Arial Black" w:hAnsi="Arial Black"/>
          <w:b/>
          <w:color w:val="000000"/>
          <w:sz w:val="40"/>
        </w:rPr>
        <w:t>Emergency Management Plan</w:t>
      </w:r>
    </w:p>
    <w:p w14:paraId="7346921E" w14:textId="018FEF31" w:rsidR="005F0D0C" w:rsidRDefault="00795C3F">
      <w:pPr>
        <w:keepNext/>
        <w:spacing w:before="240" w:after="0" w:line="240" w:lineRule="auto"/>
        <w:outlineLvl w:val="2"/>
      </w:pPr>
      <w:bookmarkStart w:id="1" w:name="d0e3"/>
      <w:bookmarkEnd w:id="0"/>
      <w:r>
        <w:rPr>
          <w:rFonts w:ascii="Arial Black" w:hAnsi="Arial Black"/>
          <w:b/>
          <w:color w:val="000000"/>
        </w:rPr>
        <w:t>1001</w:t>
      </w:r>
      <w:r w:rsidR="005235C3">
        <w:rPr>
          <w:rFonts w:ascii="Arial Black" w:hAnsi="Arial Black"/>
          <w:b/>
          <w:color w:val="000000"/>
        </w:rPr>
        <w:t>.1   PURPOSE AND SCOPE</w:t>
      </w:r>
    </w:p>
    <w:bookmarkEnd w:id="1"/>
    <w:p w14:paraId="73469220" w14:textId="14C9F5F9" w:rsidR="005F0D0C" w:rsidRDefault="005235C3">
      <w:pPr>
        <w:spacing w:after="0" w:line="300" w:lineRule="atLeast"/>
        <w:jc w:val="both"/>
      </w:pPr>
      <w:r>
        <w:rPr>
          <w:rFonts w:ascii="Arial" w:hAnsi="Arial"/>
          <w:color w:val="000000"/>
        </w:rPr>
        <w:t xml:space="preserve">This policy </w:t>
      </w:r>
      <w:r w:rsidR="00E97AC3">
        <w:rPr>
          <w:rFonts w:ascii="Arial" w:hAnsi="Arial"/>
          <w:color w:val="000000"/>
        </w:rPr>
        <w:t>addresses the preparation, main</w:t>
      </w:r>
      <w:r w:rsidR="0052139F">
        <w:rPr>
          <w:rFonts w:ascii="Arial" w:hAnsi="Arial"/>
          <w:color w:val="000000"/>
        </w:rPr>
        <w:t>tena</w:t>
      </w:r>
      <w:r w:rsidR="00E97AC3">
        <w:rPr>
          <w:rFonts w:ascii="Arial" w:hAnsi="Arial"/>
          <w:color w:val="000000"/>
        </w:rPr>
        <w:t>nce</w:t>
      </w:r>
      <w:r w:rsidR="0052139F">
        <w:rPr>
          <w:rFonts w:ascii="Arial" w:hAnsi="Arial"/>
          <w:color w:val="000000"/>
        </w:rPr>
        <w:t>,</w:t>
      </w:r>
      <w:r w:rsidR="00E97AC3">
        <w:rPr>
          <w:rFonts w:ascii="Arial" w:hAnsi="Arial"/>
          <w:color w:val="000000"/>
        </w:rPr>
        <w:t xml:space="preserve"> and activation of any applicable </w:t>
      </w:r>
      <w:r w:rsidR="007621D4">
        <w:rPr>
          <w:rFonts w:ascii="Arial" w:hAnsi="Arial"/>
          <w:color w:val="000000"/>
        </w:rPr>
        <w:t>emergency management plan.</w:t>
      </w:r>
    </w:p>
    <w:p w14:paraId="73469221" w14:textId="55936A8C" w:rsidR="005F0D0C" w:rsidRDefault="00795C3F">
      <w:pPr>
        <w:keepNext/>
        <w:spacing w:before="240" w:after="0" w:line="240" w:lineRule="auto"/>
        <w:outlineLvl w:val="2"/>
      </w:pPr>
      <w:bookmarkStart w:id="2" w:name="d0e25"/>
      <w:r>
        <w:rPr>
          <w:rFonts w:ascii="Arial Black" w:hAnsi="Arial Black"/>
          <w:b/>
          <w:color w:val="000000"/>
        </w:rPr>
        <w:t>1001</w:t>
      </w:r>
      <w:r w:rsidR="005235C3">
        <w:rPr>
          <w:rFonts w:ascii="Arial Black" w:hAnsi="Arial Black"/>
          <w:b/>
          <w:color w:val="000000"/>
        </w:rPr>
        <w:t>.2   POLICY</w:t>
      </w:r>
    </w:p>
    <w:bookmarkEnd w:id="2"/>
    <w:p w14:paraId="73469223" w14:textId="23483395" w:rsidR="005F0D0C" w:rsidRDefault="005235C3">
      <w:pPr>
        <w:spacing w:after="0" w:line="300" w:lineRule="atLeast"/>
        <w:jc w:val="both"/>
      </w:pPr>
      <w:r>
        <w:rPr>
          <w:rFonts w:ascii="Arial" w:hAnsi="Arial"/>
          <w:color w:val="000000"/>
        </w:rPr>
        <w:t>﻿﻿The</w:t>
      </w:r>
      <w:r w:rsidR="00F34FFA">
        <w:rPr>
          <w:rFonts w:ascii="Arial" w:hAnsi="Arial"/>
          <w:color w:val="000000"/>
        </w:rPr>
        <w:t xml:space="preserve"> agency</w:t>
      </w:r>
      <w:r>
        <w:rPr>
          <w:rFonts w:ascii="Arial" w:hAnsi="Arial"/>
          <w:color w:val="000000"/>
        </w:rPr>
        <w:t xml:space="preserve"> will prepare for large-scale emergencies within and outside its jurisdiction through planning and mutual cooperation with other agencies.</w:t>
      </w:r>
    </w:p>
    <w:p w14:paraId="4199887C" w14:textId="699E0D6A" w:rsidR="00CB085C" w:rsidRPr="004D2134" w:rsidRDefault="00795C3F" w:rsidP="00CB085C">
      <w:pPr>
        <w:keepNext/>
        <w:spacing w:before="240" w:after="0" w:line="240" w:lineRule="auto"/>
        <w:outlineLvl w:val="2"/>
      </w:pPr>
      <w:r>
        <w:rPr>
          <w:rFonts w:ascii="Arial Black" w:hAnsi="Arial Black"/>
          <w:b/>
          <w:color w:val="000000"/>
        </w:rPr>
        <w:t>1001</w:t>
      </w:r>
      <w:r w:rsidR="00CB085C" w:rsidRPr="004D2134">
        <w:rPr>
          <w:rFonts w:ascii="Arial Black" w:hAnsi="Arial Black"/>
          <w:b/>
          <w:color w:val="000000"/>
        </w:rPr>
        <w:t>.3   RESPONSIBILITIES</w:t>
      </w:r>
    </w:p>
    <w:p w14:paraId="06528884" w14:textId="7C59F139" w:rsidR="00B3035B" w:rsidRDefault="0088005A" w:rsidP="00CB085C">
      <w:pPr>
        <w:spacing w:after="0" w:line="300" w:lineRule="atLeast"/>
        <w:jc w:val="both"/>
      </w:pPr>
      <w:r w:rsidRPr="00F713EA">
        <w:rPr>
          <w:rFonts w:ascii="Arial" w:hAnsi="Arial"/>
          <w:color w:val="000000"/>
        </w:rPr>
        <w:t>A</w:t>
      </w:r>
      <w:r w:rsidR="003F5F16" w:rsidRPr="004D2134">
        <w:rPr>
          <w:rFonts w:ascii="Arial" w:hAnsi="Arial"/>
          <w:color w:val="000000"/>
        </w:rPr>
        <w:t>n employee</w:t>
      </w:r>
      <w:r w:rsidR="00CB085C" w:rsidRPr="004D2134">
        <w:rPr>
          <w:rFonts w:ascii="Arial" w:hAnsi="Arial"/>
          <w:color w:val="000000"/>
        </w:rPr>
        <w:t xml:space="preserve"> </w:t>
      </w:r>
      <w:r w:rsidR="003839CC">
        <w:rPr>
          <w:rFonts w:ascii="Arial" w:hAnsi="Arial"/>
          <w:color w:val="000000"/>
        </w:rPr>
        <w:t xml:space="preserve">should be appointed as the person </w:t>
      </w:r>
      <w:r w:rsidR="00CB085C" w:rsidRPr="004D2134">
        <w:rPr>
          <w:rFonts w:ascii="Arial" w:hAnsi="Arial"/>
          <w:color w:val="000000"/>
        </w:rPr>
        <w:t xml:space="preserve">responsible for the emergency management plan and </w:t>
      </w:r>
      <w:r w:rsidR="003839CC">
        <w:rPr>
          <w:rFonts w:ascii="Arial" w:hAnsi="Arial"/>
          <w:color w:val="000000"/>
        </w:rPr>
        <w:t xml:space="preserve">agency </w:t>
      </w:r>
      <w:r w:rsidR="00CB085C" w:rsidRPr="00F713EA">
        <w:rPr>
          <w:rFonts w:ascii="Arial" w:hAnsi="Arial"/>
          <w:color w:val="000000"/>
        </w:rPr>
        <w:t>coordination with applicable local and state departments and entities for disaster planning, mitigation, response, and recovery efforts</w:t>
      </w:r>
      <w:r w:rsidR="00CB085C" w:rsidRPr="004D2134">
        <w:rPr>
          <w:rFonts w:ascii="Arial" w:hAnsi="Arial"/>
          <w:color w:val="000000"/>
        </w:rPr>
        <w:t>.</w:t>
      </w:r>
    </w:p>
    <w:p w14:paraId="7346922F" w14:textId="1DEFEFA8" w:rsidR="005F0D0C" w:rsidRDefault="00795C3F">
      <w:pPr>
        <w:keepNext/>
        <w:spacing w:before="240" w:after="0" w:line="240" w:lineRule="auto"/>
        <w:outlineLvl w:val="2"/>
      </w:pPr>
      <w:bookmarkStart w:id="3" w:name="d0e81"/>
      <w:r>
        <w:rPr>
          <w:rFonts w:ascii="Arial Black" w:hAnsi="Arial Black"/>
          <w:b/>
          <w:color w:val="000000"/>
        </w:rPr>
        <w:t>1001</w:t>
      </w:r>
      <w:r w:rsidR="005235C3">
        <w:rPr>
          <w:rFonts w:ascii="Arial Black" w:hAnsi="Arial Black"/>
          <w:b/>
          <w:color w:val="000000"/>
        </w:rPr>
        <w:t>.4   ACTIVATING THE EMERGENCY MANAGEMENT PLAN</w:t>
      </w:r>
    </w:p>
    <w:bookmarkEnd w:id="3"/>
    <w:p w14:paraId="73469231" w14:textId="506D9A59" w:rsidR="005F0D0C" w:rsidRDefault="005235C3">
      <w:pPr>
        <w:spacing w:after="0" w:line="300" w:lineRule="atLeast"/>
        <w:jc w:val="both"/>
      </w:pPr>
      <w:r>
        <w:rPr>
          <w:rFonts w:ascii="Arial" w:hAnsi="Arial"/>
          <w:color w:val="000000"/>
        </w:rPr>
        <w:t xml:space="preserve">The </w:t>
      </w:r>
      <w:r w:rsidR="005306F1">
        <w:rPr>
          <w:rFonts w:ascii="Arial" w:hAnsi="Arial"/>
          <w:iCs/>
          <w:color w:val="000000"/>
        </w:rPr>
        <w:t>emergency management plan</w:t>
      </w:r>
      <w:r>
        <w:rPr>
          <w:rFonts w:ascii="Arial" w:hAnsi="Arial"/>
          <w:color w:val="000000"/>
        </w:rPr>
        <w:t xml:space="preserve"> </w:t>
      </w:r>
      <w:r w:rsidR="00835FDB">
        <w:rPr>
          <w:rFonts w:ascii="Arial" w:hAnsi="Arial"/>
          <w:color w:val="000000"/>
        </w:rPr>
        <w:t xml:space="preserve">should include clear direction </w:t>
      </w:r>
      <w:r w:rsidR="00AB785B">
        <w:rPr>
          <w:rFonts w:ascii="Arial" w:hAnsi="Arial"/>
          <w:color w:val="000000"/>
        </w:rPr>
        <w:t xml:space="preserve">on how to activate the </w:t>
      </w:r>
      <w:r w:rsidR="00782295">
        <w:rPr>
          <w:rFonts w:ascii="Arial" w:hAnsi="Arial"/>
          <w:color w:val="000000"/>
        </w:rPr>
        <w:t>plan and who can activate it</w:t>
      </w:r>
      <w:r>
        <w:rPr>
          <w:rFonts w:ascii="Arial" w:hAnsi="Arial"/>
          <w:color w:val="000000"/>
        </w:rPr>
        <w:t xml:space="preserve"> in response to a major emergency.</w:t>
      </w:r>
    </w:p>
    <w:p w14:paraId="73469233" w14:textId="32A91D46" w:rsidR="005F0D0C" w:rsidRDefault="00795C3F">
      <w:pPr>
        <w:keepNext/>
        <w:spacing w:before="240" w:after="0" w:line="240" w:lineRule="auto"/>
        <w:outlineLvl w:val="3"/>
      </w:pPr>
      <w:bookmarkStart w:id="4" w:name="d0e83"/>
      <w:r>
        <w:rPr>
          <w:rFonts w:ascii="Arial Black" w:hAnsi="Arial Black"/>
          <w:color w:val="000000"/>
        </w:rPr>
        <w:t>1001</w:t>
      </w:r>
      <w:r w:rsidR="005235C3">
        <w:rPr>
          <w:rFonts w:ascii="Arial Black" w:hAnsi="Arial Black"/>
          <w:color w:val="000000"/>
        </w:rPr>
        <w:t>.4.1   RECALL OF PERSONNEL</w:t>
      </w:r>
    </w:p>
    <w:bookmarkEnd w:id="4"/>
    <w:p w14:paraId="73469235" w14:textId="74336072" w:rsidR="005F0D0C" w:rsidRDefault="005235C3">
      <w:pPr>
        <w:spacing w:after="0" w:line="300" w:lineRule="atLeast"/>
        <w:jc w:val="both"/>
      </w:pPr>
      <w:r>
        <w:rPr>
          <w:rFonts w:ascii="Arial" w:hAnsi="Arial"/>
          <w:color w:val="000000"/>
        </w:rPr>
        <w:t xml:space="preserve">In the event that the </w:t>
      </w:r>
      <w:r w:rsidR="00A30CD5">
        <w:rPr>
          <w:rFonts w:ascii="Arial" w:hAnsi="Arial"/>
          <w:iCs/>
          <w:color w:val="000000"/>
        </w:rPr>
        <w:t>emergency management plan</w:t>
      </w:r>
      <w:r>
        <w:rPr>
          <w:rFonts w:ascii="Arial" w:hAnsi="Arial"/>
          <w:color w:val="000000"/>
        </w:rPr>
        <w:t xml:space="preserve"> is activated, all </w:t>
      </w:r>
      <w:r w:rsidR="009565BB">
        <w:rPr>
          <w:rFonts w:ascii="Arial" w:hAnsi="Arial"/>
          <w:color w:val="000000"/>
        </w:rPr>
        <w:t xml:space="preserve">employees </w:t>
      </w:r>
      <w:r>
        <w:rPr>
          <w:rFonts w:ascii="Arial" w:hAnsi="Arial"/>
          <w:color w:val="000000"/>
        </w:rPr>
        <w:t>are subject to immediate recall to service. Employees may also be subject to recall during extraordinary circumstances as deemed necessary</w:t>
      </w:r>
      <w:r w:rsidR="009E0D36">
        <w:rPr>
          <w:rFonts w:ascii="Arial" w:hAnsi="Arial"/>
          <w:color w:val="000000"/>
        </w:rPr>
        <w:t>.</w:t>
      </w:r>
    </w:p>
    <w:p w14:paraId="73469236" w14:textId="7207FAB5" w:rsidR="005F0D0C" w:rsidRDefault="005235C3">
      <w:pPr>
        <w:spacing w:before="120" w:after="0" w:line="300" w:lineRule="atLeast"/>
        <w:jc w:val="both"/>
      </w:pPr>
      <w:r>
        <w:rPr>
          <w:rFonts w:ascii="Arial" w:hAnsi="Arial"/>
          <w:color w:val="000000"/>
        </w:rPr>
        <w:t xml:space="preserve">Failure to promptly respond to an order to report for </w:t>
      </w:r>
      <w:r w:rsidR="00653C7A">
        <w:rPr>
          <w:rFonts w:ascii="Arial" w:hAnsi="Arial"/>
          <w:color w:val="000000"/>
        </w:rPr>
        <w:t xml:space="preserve">work </w:t>
      </w:r>
      <w:r>
        <w:rPr>
          <w:rFonts w:ascii="Arial" w:hAnsi="Arial"/>
          <w:color w:val="000000"/>
        </w:rPr>
        <w:t>may result in discipline.</w:t>
      </w:r>
    </w:p>
    <w:p w14:paraId="73469237" w14:textId="45711C3B" w:rsidR="005F0D0C" w:rsidRDefault="00795C3F">
      <w:pPr>
        <w:keepNext/>
        <w:spacing w:before="240" w:after="0" w:line="240" w:lineRule="auto"/>
        <w:outlineLvl w:val="2"/>
      </w:pPr>
      <w:bookmarkStart w:id="5" w:name="d0e121"/>
      <w:r>
        <w:rPr>
          <w:rFonts w:ascii="Arial Black" w:hAnsi="Arial Black"/>
          <w:b/>
          <w:color w:val="000000"/>
        </w:rPr>
        <w:t>1001</w:t>
      </w:r>
      <w:r w:rsidR="005235C3">
        <w:rPr>
          <w:rFonts w:ascii="Arial Black" w:hAnsi="Arial Black"/>
          <w:b/>
          <w:color w:val="000000"/>
        </w:rPr>
        <w:t>.5   LOCATION OF THE EMERGENCY MANAGEMENT PLAN</w:t>
      </w:r>
    </w:p>
    <w:bookmarkEnd w:id="5"/>
    <w:p w14:paraId="73469239" w14:textId="648FA06B" w:rsidR="005F0D0C" w:rsidRDefault="005235C3">
      <w:pPr>
        <w:spacing w:after="0" w:line="300" w:lineRule="atLeast"/>
        <w:jc w:val="both"/>
      </w:pPr>
      <w:r>
        <w:rPr>
          <w:rFonts w:ascii="Arial" w:hAnsi="Arial"/>
          <w:color w:val="000000"/>
        </w:rPr>
        <w:t xml:space="preserve">Copies of the </w:t>
      </w:r>
      <w:r w:rsidR="005306F1">
        <w:rPr>
          <w:rFonts w:ascii="Arial" w:hAnsi="Arial"/>
          <w:iCs/>
          <w:color w:val="000000"/>
        </w:rPr>
        <w:t>emergency management plan</w:t>
      </w:r>
      <w:r>
        <w:rPr>
          <w:rFonts w:ascii="Arial" w:hAnsi="Arial"/>
          <w:color w:val="000000"/>
        </w:rPr>
        <w:t xml:space="preserve"> </w:t>
      </w:r>
      <w:r w:rsidR="00AB04AC">
        <w:rPr>
          <w:rFonts w:ascii="Arial" w:hAnsi="Arial"/>
          <w:color w:val="000000"/>
        </w:rPr>
        <w:t xml:space="preserve">should be </w:t>
      </w:r>
      <w:r>
        <w:rPr>
          <w:rFonts w:ascii="Arial" w:hAnsi="Arial"/>
          <w:color w:val="000000"/>
        </w:rPr>
        <w:t xml:space="preserve">available </w:t>
      </w:r>
      <w:r w:rsidR="00C67D1A">
        <w:rPr>
          <w:rFonts w:ascii="Arial" w:hAnsi="Arial"/>
          <w:color w:val="000000"/>
        </w:rPr>
        <w:t>to appropriate personnel</w:t>
      </w:r>
      <w:r w:rsidR="003D2AAA">
        <w:rPr>
          <w:rFonts w:ascii="Arial" w:hAnsi="Arial"/>
          <w:color w:val="000000"/>
        </w:rPr>
        <w:t>. All supervisors</w:t>
      </w:r>
      <w:r w:rsidR="00017A64">
        <w:rPr>
          <w:rFonts w:ascii="Arial" w:hAnsi="Arial"/>
          <w:color w:val="000000"/>
        </w:rPr>
        <w:t xml:space="preserve"> should familiarize themselves </w:t>
      </w:r>
      <w:r w:rsidR="0044246E">
        <w:rPr>
          <w:rFonts w:ascii="Arial" w:hAnsi="Arial"/>
          <w:color w:val="000000"/>
        </w:rPr>
        <w:t>with the emergency management plan</w:t>
      </w:r>
      <w:r w:rsidR="00652A94">
        <w:rPr>
          <w:rFonts w:ascii="Arial" w:hAnsi="Arial"/>
          <w:color w:val="000000"/>
        </w:rPr>
        <w:t xml:space="preserve"> and assist </w:t>
      </w:r>
      <w:r w:rsidR="00EC1A19">
        <w:rPr>
          <w:rFonts w:ascii="Arial" w:hAnsi="Arial"/>
          <w:color w:val="000000"/>
        </w:rPr>
        <w:t xml:space="preserve">employees </w:t>
      </w:r>
      <w:r w:rsidR="00212B95">
        <w:rPr>
          <w:rFonts w:ascii="Arial" w:hAnsi="Arial"/>
          <w:color w:val="000000"/>
        </w:rPr>
        <w:t xml:space="preserve">in </w:t>
      </w:r>
      <w:r w:rsidR="002A0386">
        <w:rPr>
          <w:rFonts w:ascii="Arial" w:hAnsi="Arial"/>
          <w:color w:val="000000"/>
        </w:rPr>
        <w:t xml:space="preserve">familiarizing </w:t>
      </w:r>
      <w:r w:rsidR="004965E3">
        <w:rPr>
          <w:rFonts w:ascii="Arial" w:hAnsi="Arial"/>
          <w:color w:val="000000"/>
        </w:rPr>
        <w:t xml:space="preserve">themselves with the roles they will play when the plan is implemented. </w:t>
      </w:r>
    </w:p>
    <w:p w14:paraId="7346923A" w14:textId="1DC68EBD" w:rsidR="005F0D0C" w:rsidRDefault="00795C3F">
      <w:pPr>
        <w:keepNext/>
        <w:spacing w:before="240" w:after="0" w:line="240" w:lineRule="auto"/>
        <w:outlineLvl w:val="2"/>
      </w:pPr>
      <w:bookmarkStart w:id="6" w:name="d0e144"/>
      <w:r>
        <w:rPr>
          <w:rFonts w:ascii="Arial Black" w:hAnsi="Arial Black"/>
          <w:b/>
          <w:color w:val="000000"/>
        </w:rPr>
        <w:t>1001</w:t>
      </w:r>
      <w:r w:rsidR="005235C3">
        <w:rPr>
          <w:rFonts w:ascii="Arial Black" w:hAnsi="Arial Black"/>
          <w:b/>
          <w:color w:val="000000"/>
        </w:rPr>
        <w:t>.6   EMERGENCY MANAGEMENT PLAN REVIEW</w:t>
      </w:r>
    </w:p>
    <w:bookmarkEnd w:id="6"/>
    <w:p w14:paraId="7346923C" w14:textId="615E8B73" w:rsidR="005F0D0C" w:rsidRDefault="005235C3">
      <w:pPr>
        <w:spacing w:after="0" w:line="300" w:lineRule="atLeast"/>
        <w:jc w:val="both"/>
      </w:pPr>
      <w:r>
        <w:rPr>
          <w:rFonts w:ascii="Arial" w:hAnsi="Arial"/>
          <w:color w:val="000000"/>
        </w:rPr>
        <w:t xml:space="preserve">﻿﻿The </w:t>
      </w:r>
      <w:r w:rsidR="005306F1">
        <w:rPr>
          <w:rFonts w:ascii="Arial" w:hAnsi="Arial"/>
          <w:color w:val="000000"/>
        </w:rPr>
        <w:t xml:space="preserve">emergency management plan </w:t>
      </w:r>
      <w:r w:rsidR="002F1F7E">
        <w:rPr>
          <w:rFonts w:ascii="Arial" w:hAnsi="Arial"/>
          <w:color w:val="000000"/>
        </w:rPr>
        <w:t xml:space="preserve">should be reviewed </w:t>
      </w:r>
      <w:r>
        <w:rPr>
          <w:rFonts w:ascii="Arial" w:hAnsi="Arial"/>
          <w:color w:val="000000"/>
        </w:rPr>
        <w:t>at least once every two years</w:t>
      </w:r>
      <w:r w:rsidR="00721EC2">
        <w:rPr>
          <w:rFonts w:ascii="Arial" w:hAnsi="Arial"/>
          <w:color w:val="000000"/>
        </w:rPr>
        <w:t xml:space="preserve">, including a review </w:t>
      </w:r>
      <w:r w:rsidR="00235A3A">
        <w:rPr>
          <w:rFonts w:ascii="Arial" w:hAnsi="Arial"/>
          <w:color w:val="000000"/>
        </w:rPr>
        <w:t>to</w:t>
      </w:r>
      <w:r>
        <w:rPr>
          <w:rFonts w:ascii="Arial" w:hAnsi="Arial"/>
          <w:color w:val="000000"/>
        </w:rPr>
        <w:t xml:space="preserve"> </w:t>
      </w:r>
      <w:r w:rsidR="00235A3A">
        <w:rPr>
          <w:rFonts w:ascii="Arial" w:hAnsi="Arial"/>
          <w:color w:val="000000"/>
        </w:rPr>
        <w:t xml:space="preserve">identify whether </w:t>
      </w:r>
      <w:r>
        <w:rPr>
          <w:rFonts w:ascii="Arial" w:hAnsi="Arial"/>
          <w:color w:val="000000"/>
        </w:rPr>
        <w:t xml:space="preserve">the plan conforms to any revisions made by the National Incident Management System (NIMS). The </w:t>
      </w:r>
      <w:r w:rsidR="000C6FCD">
        <w:rPr>
          <w:rFonts w:ascii="Arial" w:hAnsi="Arial"/>
          <w:color w:val="000000"/>
        </w:rPr>
        <w:t>desi</w:t>
      </w:r>
      <w:r w:rsidR="00DC0DC8">
        <w:rPr>
          <w:rFonts w:ascii="Arial" w:hAnsi="Arial"/>
          <w:color w:val="000000"/>
        </w:rPr>
        <w:t xml:space="preserve">gnated employee </w:t>
      </w:r>
      <w:r>
        <w:rPr>
          <w:rFonts w:ascii="Arial" w:hAnsi="Arial"/>
          <w:color w:val="000000"/>
        </w:rPr>
        <w:t>should appropriately address any needed revisions.</w:t>
      </w:r>
    </w:p>
    <w:p w14:paraId="7346923D" w14:textId="2E185185" w:rsidR="005F0D0C" w:rsidRDefault="00DF1D05">
      <w:pPr>
        <w:keepNext/>
        <w:spacing w:before="240" w:after="0" w:line="240" w:lineRule="auto"/>
        <w:outlineLvl w:val="2"/>
      </w:pPr>
      <w:bookmarkStart w:id="7" w:name="d0e164"/>
      <w:r>
        <w:rPr>
          <w:rFonts w:ascii="Arial Black" w:hAnsi="Arial Black"/>
          <w:b/>
          <w:color w:val="000000"/>
        </w:rPr>
        <w:t>1001</w:t>
      </w:r>
      <w:r w:rsidR="005235C3">
        <w:rPr>
          <w:rFonts w:ascii="Arial Black" w:hAnsi="Arial Black"/>
          <w:b/>
          <w:color w:val="000000"/>
        </w:rPr>
        <w:t>.7   TRAINING</w:t>
      </w:r>
    </w:p>
    <w:bookmarkEnd w:id="7"/>
    <w:p w14:paraId="68DF88BD" w14:textId="1C79C4E0" w:rsidR="00AB7E41" w:rsidRDefault="005235C3" w:rsidP="00AB7E41">
      <w:pPr>
        <w:spacing w:after="0" w:line="300" w:lineRule="atLeast"/>
        <w:jc w:val="both"/>
      </w:pPr>
      <w:r>
        <w:rPr>
          <w:rFonts w:ascii="Arial" w:hAnsi="Arial"/>
          <w:color w:val="000000"/>
        </w:rPr>
        <w:t>﻿﻿</w:t>
      </w:r>
      <w:r w:rsidR="00CF3054"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</w:rPr>
        <w:t xml:space="preserve">raining on the </w:t>
      </w:r>
      <w:r w:rsidR="005306F1">
        <w:rPr>
          <w:rFonts w:ascii="Arial" w:hAnsi="Arial"/>
          <w:color w:val="000000"/>
        </w:rPr>
        <w:t>emergency management plan</w:t>
      </w:r>
      <w:r>
        <w:rPr>
          <w:rFonts w:ascii="Arial" w:hAnsi="Arial"/>
          <w:color w:val="000000"/>
        </w:rPr>
        <w:t xml:space="preserve"> </w:t>
      </w:r>
      <w:r w:rsidR="001F6B82">
        <w:rPr>
          <w:rFonts w:ascii="Arial" w:hAnsi="Arial"/>
          <w:color w:val="000000"/>
        </w:rPr>
        <w:t xml:space="preserve">should be provided </w:t>
      </w:r>
      <w:r>
        <w:rPr>
          <w:rFonts w:ascii="Arial" w:hAnsi="Arial"/>
          <w:color w:val="000000"/>
        </w:rPr>
        <w:t xml:space="preserve">for appropriate personnel. </w:t>
      </w:r>
    </w:p>
    <w:p w14:paraId="32246F99" w14:textId="77777777" w:rsidR="00AB7E41" w:rsidRDefault="00AB7E41">
      <w:pPr>
        <w:spacing w:after="0" w:line="300" w:lineRule="atLeast"/>
        <w:jc w:val="both"/>
        <w:rPr>
          <w:rFonts w:ascii="Arial" w:hAnsi="Arial"/>
          <w:color w:val="000000"/>
        </w:rPr>
      </w:pPr>
    </w:p>
    <w:p w14:paraId="7346923F" w14:textId="5374F980" w:rsidR="000A104C" w:rsidRDefault="005235C3">
      <w:pPr>
        <w:spacing w:after="0" w:line="300" w:lineRule="atLeas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Training should incorporate a full or partial exercise</w:t>
      </w:r>
      <w:r w:rsidR="00914BBC">
        <w:rPr>
          <w:rFonts w:ascii="Arial" w:hAnsi="Arial"/>
          <w:color w:val="000000"/>
        </w:rPr>
        <w:t xml:space="preserve"> or a</w:t>
      </w:r>
      <w:r>
        <w:rPr>
          <w:rFonts w:ascii="Arial" w:hAnsi="Arial"/>
          <w:color w:val="000000"/>
        </w:rPr>
        <w:t xml:space="preserve"> tabletop or command discussion.</w:t>
      </w:r>
    </w:p>
    <w:p w14:paraId="49949311" w14:textId="77777777" w:rsidR="000A104C" w:rsidRDefault="000A104C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 w:type="page"/>
      </w:r>
    </w:p>
    <w:p w14:paraId="2A5339AF" w14:textId="77777777" w:rsidR="00885948" w:rsidRDefault="00885948" w:rsidP="00D47574">
      <w:pPr>
        <w:jc w:val="center"/>
        <w:rPr>
          <w:b/>
          <w:bCs/>
          <w:color w:val="FF0000"/>
        </w:rPr>
      </w:pPr>
    </w:p>
    <w:p w14:paraId="4F639D9A" w14:textId="1D3F8EBA" w:rsidR="00D47574" w:rsidRPr="00C67FB8" w:rsidRDefault="00B87F85" w:rsidP="00D47574">
      <w:pPr>
        <w:jc w:val="center"/>
        <w:rPr>
          <w:b/>
          <w:bCs/>
          <w:color w:val="FF0000"/>
        </w:rPr>
      </w:pPr>
      <w:bookmarkStart w:id="8" w:name="_GoBack"/>
      <w:bookmarkEnd w:id="8"/>
      <w:r>
        <w:rPr>
          <w:b/>
          <w:bCs/>
          <w:color w:val="FF0000"/>
        </w:rPr>
        <w:t>I</w:t>
      </w:r>
      <w:r w:rsidR="004C29EA">
        <w:rPr>
          <w:b/>
          <w:bCs/>
          <w:color w:val="FF0000"/>
        </w:rPr>
        <w:t xml:space="preserve">MPLEMENTATION </w:t>
      </w:r>
      <w:r w:rsidR="00D47574" w:rsidRPr="00C67FB8">
        <w:rPr>
          <w:b/>
          <w:bCs/>
          <w:color w:val="FF0000"/>
        </w:rPr>
        <w:t>GUID</w:t>
      </w:r>
      <w:r w:rsidR="004C29EA">
        <w:rPr>
          <w:b/>
          <w:bCs/>
          <w:color w:val="FF0000"/>
        </w:rPr>
        <w:t>ANCE</w:t>
      </w:r>
    </w:p>
    <w:p w14:paraId="3BA203E6" w14:textId="77777777" w:rsidR="00D47574" w:rsidRPr="00064484" w:rsidRDefault="00D47574" w:rsidP="00D47574">
      <w:pPr>
        <w:rPr>
          <w:b/>
          <w:bCs/>
          <w:i/>
          <w:iCs/>
          <w:color w:val="FF0000"/>
        </w:rPr>
      </w:pPr>
      <w:r w:rsidRPr="00064484">
        <w:rPr>
          <w:b/>
          <w:bCs/>
          <w:i/>
          <w:iCs/>
          <w:color w:val="FF0000"/>
        </w:rPr>
        <w:t>The following information is provided to assist you and should be deleted before the policy is issued to agency personnel.</w:t>
      </w:r>
    </w:p>
    <w:p w14:paraId="1DC9B09B" w14:textId="77777777" w:rsidR="00340F3C" w:rsidRDefault="00340F3C">
      <w:pPr>
        <w:spacing w:after="0" w:line="300" w:lineRule="atLeast"/>
        <w:jc w:val="both"/>
      </w:pPr>
    </w:p>
    <w:p w14:paraId="3B4C4822" w14:textId="77777777" w:rsidR="007C74EC" w:rsidRPr="00275541" w:rsidRDefault="007C74EC" w:rsidP="007C74EC">
      <w:pPr>
        <w:rPr>
          <w:b/>
          <w:bCs/>
        </w:rPr>
      </w:pPr>
      <w:r>
        <w:rPr>
          <w:b/>
          <w:bCs/>
        </w:rPr>
        <w:t>Emergency Management Plan</w:t>
      </w:r>
    </w:p>
    <w:p w14:paraId="78780F06" w14:textId="77777777" w:rsidR="007C74EC" w:rsidRDefault="007C74EC" w:rsidP="007C74EC">
      <w:pPr>
        <w:shd w:val="clear" w:color="auto" w:fill="FFFFFF"/>
        <w:rPr>
          <w:rFonts w:cs="Arial"/>
          <w:color w:val="000000"/>
        </w:rPr>
      </w:pPr>
      <w:r w:rsidRPr="00C13BB8">
        <w:rPr>
          <w:rFonts w:cs="Arial"/>
          <w:color w:val="000000"/>
          <w:shd w:val="clear" w:color="auto" w:fill="FFFFFF"/>
        </w:rPr>
        <w:t xml:space="preserve">This policy </w:t>
      </w:r>
      <w:r>
        <w:rPr>
          <w:rFonts w:cs="Arial"/>
          <w:color w:val="000000"/>
        </w:rPr>
        <w:t xml:space="preserve">is being provided to contribute to the ongoing discussions and actions regarding COVID-19 (coronavirus disease 2019).  </w:t>
      </w:r>
    </w:p>
    <w:p w14:paraId="680AA8B6" w14:textId="77777777" w:rsidR="007C74EC" w:rsidRDefault="007C74EC" w:rsidP="007C74EC">
      <w:pPr>
        <w:shd w:val="clear" w:color="auto" w:fill="FFFFFF"/>
      </w:pPr>
      <w:r>
        <w:t xml:space="preserve">This policy is intended as a starting point for local governments and agencies preparing policies for dealing with large-scale emergencies. This is a national-level policy and does not include applicable state or local requirements. </w:t>
      </w:r>
    </w:p>
    <w:p w14:paraId="5634779C" w14:textId="77777777" w:rsidR="007C74EC" w:rsidRDefault="007C74EC" w:rsidP="007C74EC">
      <w:pPr>
        <w:shd w:val="clear" w:color="auto" w:fill="FFFFFF"/>
        <w:rPr>
          <w:rFonts w:cs="Arial"/>
          <w:color w:val="000000"/>
        </w:rPr>
      </w:pPr>
      <w:r w:rsidRPr="00F26987">
        <w:rPr>
          <w:rFonts w:cs="Arial"/>
        </w:rPr>
        <w:t>Lexipol is not your agency's policy maker. Your agency is responsible for reviewing, customizing</w:t>
      </w:r>
      <w:r>
        <w:rPr>
          <w:rFonts w:cs="Arial"/>
        </w:rPr>
        <w:t>,</w:t>
      </w:r>
      <w:r w:rsidRPr="00F26987">
        <w:rPr>
          <w:rFonts w:cs="Arial"/>
        </w:rPr>
        <w:t xml:space="preserve"> and adopting any version of this policy for your agency. </w:t>
      </w:r>
      <w:r>
        <w:rPr>
          <w:rFonts w:cs="Arial"/>
        </w:rPr>
        <w:t xml:space="preserve">Neither the </w:t>
      </w:r>
      <w:r w:rsidRPr="00F26987">
        <w:rPr>
          <w:rFonts w:cs="Arial"/>
        </w:rPr>
        <w:t xml:space="preserve">policy </w:t>
      </w:r>
      <w:r>
        <w:rPr>
          <w:rFonts w:cs="Arial"/>
        </w:rPr>
        <w:t xml:space="preserve">nor any information provided should be </w:t>
      </w:r>
      <w:r w:rsidRPr="00F26987">
        <w:rPr>
          <w:rFonts w:cs="Arial"/>
        </w:rPr>
        <w:t xml:space="preserve">considered to contain legal advice or opinions. You </w:t>
      </w:r>
      <w:r>
        <w:rPr>
          <w:rFonts w:cs="Arial"/>
          <w:color w:val="000000"/>
        </w:rPr>
        <w:t xml:space="preserve">should contact your legal counsel to obtain legal advice. </w:t>
      </w:r>
    </w:p>
    <w:p w14:paraId="0FDA4742" w14:textId="77777777" w:rsidR="007C74EC" w:rsidRDefault="007C74EC" w:rsidP="007C74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This policy addresses the </w:t>
      </w:r>
      <w:r w:rsidRPr="00194966">
        <w:rPr>
          <w:color w:val="000000"/>
        </w:rPr>
        <w:t>preparation,</w:t>
      </w:r>
      <w:r>
        <w:rPr>
          <w:color w:val="000000"/>
        </w:rPr>
        <w:t xml:space="preserve"> </w:t>
      </w:r>
      <w:r w:rsidRPr="00194966">
        <w:rPr>
          <w:color w:val="000000"/>
        </w:rPr>
        <w:t>maintenance</w:t>
      </w:r>
      <w:r>
        <w:rPr>
          <w:color w:val="000000"/>
        </w:rPr>
        <w:t>,</w:t>
      </w:r>
      <w:r w:rsidRPr="00194966">
        <w:rPr>
          <w:color w:val="000000"/>
        </w:rPr>
        <w:t xml:space="preserve"> and activation of </w:t>
      </w:r>
      <w:r>
        <w:rPr>
          <w:color w:val="000000"/>
        </w:rPr>
        <w:t>your</w:t>
      </w:r>
      <w:r w:rsidRPr="00194966">
        <w:rPr>
          <w:color w:val="000000"/>
        </w:rPr>
        <w:t xml:space="preserve"> emergency management plan</w:t>
      </w:r>
      <w:r>
        <w:rPr>
          <w:color w:val="000000"/>
        </w:rPr>
        <w:t>.</w:t>
      </w:r>
      <w:r w:rsidRPr="00194966">
        <w:rPr>
          <w:color w:val="000000"/>
        </w:rPr>
        <w:t xml:space="preserve"> </w:t>
      </w:r>
      <w:r w:rsidRPr="009F1277">
        <w:rPr>
          <w:color w:val="000000"/>
        </w:rPr>
        <w:t>If you do not have an</w:t>
      </w:r>
      <w:r>
        <w:rPr>
          <w:color w:val="000000"/>
        </w:rPr>
        <w:t xml:space="preserve"> </w:t>
      </w:r>
      <w:r w:rsidRPr="009F1277">
        <w:rPr>
          <w:color w:val="000000"/>
        </w:rPr>
        <w:t xml:space="preserve">emergency management plan, now would be </w:t>
      </w:r>
      <w:r>
        <w:rPr>
          <w:color w:val="000000"/>
        </w:rPr>
        <w:t xml:space="preserve">the </w:t>
      </w:r>
      <w:r w:rsidRPr="009F1277">
        <w:rPr>
          <w:color w:val="000000"/>
        </w:rPr>
        <w:t>time to put one in place</w:t>
      </w:r>
      <w:r>
        <w:rPr>
          <w:color w:val="000000"/>
        </w:rPr>
        <w:t xml:space="preserve"> and train your employees on their responsibilities under the plan</w:t>
      </w:r>
      <w:r w:rsidRPr="009F1277">
        <w:rPr>
          <w:color w:val="000000"/>
        </w:rPr>
        <w:t xml:space="preserve">. </w:t>
      </w:r>
    </w:p>
    <w:p w14:paraId="70EDB80E" w14:textId="77777777" w:rsidR="007C74EC" w:rsidRPr="00297710" w:rsidRDefault="007C74EC" w:rsidP="007C74EC">
      <w:pPr>
        <w:rPr>
          <w:b/>
          <w:bCs/>
        </w:rPr>
      </w:pPr>
      <w:r w:rsidRPr="00297710">
        <w:rPr>
          <w:b/>
          <w:bCs/>
        </w:rPr>
        <w:t>CUSTOMIZATION</w:t>
      </w:r>
    </w:p>
    <w:p w14:paraId="6ABAE6B9" w14:textId="77777777" w:rsidR="007C74EC" w:rsidRPr="00B15424" w:rsidRDefault="007C74EC" w:rsidP="007C74EC">
      <w:pPr>
        <w:rPr>
          <w:rFonts w:cs="Arial"/>
        </w:rPr>
      </w:pPr>
      <w:r>
        <w:t xml:space="preserve">You should </w:t>
      </w:r>
      <w:r w:rsidRPr="007A24DA">
        <w:t xml:space="preserve">customize </w:t>
      </w:r>
      <w:r>
        <w:t xml:space="preserve">this policy </w:t>
      </w:r>
      <w:r w:rsidRPr="007A24DA">
        <w:t>to meet your</w:t>
      </w:r>
      <w:r>
        <w:t xml:space="preserve"> agency’s </w:t>
      </w:r>
      <w:r w:rsidRPr="00B15424">
        <w:rPr>
          <w:rFonts w:cs="Arial"/>
        </w:rPr>
        <w:t>practice</w:t>
      </w:r>
      <w:r>
        <w:rPr>
          <w:rFonts w:cs="Arial"/>
        </w:rPr>
        <w:t>, paying particular attention to the following sections</w:t>
      </w:r>
      <w:r w:rsidRPr="00B15424">
        <w:rPr>
          <w:rFonts w:cs="Arial"/>
        </w:rPr>
        <w:t>:</w:t>
      </w:r>
    </w:p>
    <w:p w14:paraId="62330F22" w14:textId="77777777" w:rsidR="007C74EC" w:rsidRDefault="007C74EC" w:rsidP="007C74EC">
      <w:pPr>
        <w:shd w:val="clear" w:color="auto" w:fill="FFFFFF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RESPONSIBILITIES </w:t>
      </w:r>
      <w:r>
        <w:rPr>
          <w:rFonts w:cs="Arial"/>
          <w:color w:val="000000"/>
        </w:rPr>
        <w:t>The policy recommends appointing an employee to be responsible for your emergency management plan and coordination efforts. You should modify the section to reflect your expectations for this person.</w:t>
      </w:r>
    </w:p>
    <w:p w14:paraId="73469240" w14:textId="1C0DFD62" w:rsidR="005F0D0C" w:rsidRDefault="007C74EC" w:rsidP="00240F4E">
      <w:pPr>
        <w:shd w:val="clear" w:color="auto" w:fill="FFFFFF"/>
      </w:pPr>
      <w:r w:rsidRPr="003D5788">
        <w:rPr>
          <w:rFonts w:cs="Arial"/>
          <w:b/>
          <w:bCs/>
          <w:color w:val="000000"/>
        </w:rPr>
        <w:t>RECALL OF PERSONNEL</w:t>
      </w:r>
      <w:r>
        <w:rPr>
          <w:rFonts w:cs="Arial"/>
          <w:color w:val="000000"/>
        </w:rPr>
        <w:t xml:space="preserve"> You should modify this section to reflect any requirements or limitations on recalling personnel to work found in any applicable collective-bargaining or other employment agreements.</w:t>
      </w:r>
    </w:p>
    <w:sectPr w:rsidR="005F0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080" w:left="1440" w:header="360" w:footer="36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E0CE3" w16cex:dateUtc="2020-03-19T20:23:00Z"/>
  <w16cex:commentExtensible w16cex:durableId="221E0DDF" w16cex:dateUtc="2020-03-19T20:27:00Z"/>
  <w16cex:commentExtensible w16cex:durableId="221E11E4" w16cex:dateUtc="2020-03-19T20:44:00Z"/>
  <w16cex:commentExtensible w16cex:durableId="221E123C" w16cex:dateUtc="2020-03-19T2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850F4" w14:textId="77777777" w:rsidR="00CD53C7" w:rsidRDefault="00CD53C7">
      <w:pPr>
        <w:spacing w:after="0" w:line="240" w:lineRule="auto"/>
      </w:pPr>
      <w:r>
        <w:separator/>
      </w:r>
    </w:p>
  </w:endnote>
  <w:endnote w:type="continuationSeparator" w:id="0">
    <w:p w14:paraId="2DB4FB06" w14:textId="77777777" w:rsidR="00CD53C7" w:rsidRDefault="00CD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B78F" w14:textId="77777777" w:rsidR="005500B5" w:rsidRPr="00F90BF0" w:rsidRDefault="005500B5" w:rsidP="005500B5">
    <w:pPr>
      <w:tabs>
        <w:tab w:val="right" w:leader="underscore" w:pos="9340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F90BF0">
      <w:rPr>
        <w:rFonts w:ascii="Arial" w:hAnsi="Arial" w:cs="Arial"/>
        <w:color w:val="000000"/>
        <w:sz w:val="16"/>
        <w:szCs w:val="16"/>
      </w:rPr>
      <w:br/>
    </w:r>
    <w:r w:rsidRPr="00F90BF0">
      <w:rPr>
        <w:rFonts w:ascii="Arial" w:hAnsi="Arial" w:cs="Arial"/>
        <w:color w:val="000000"/>
        <w:sz w:val="16"/>
        <w:szCs w:val="16"/>
      </w:rPr>
      <w:tab/>
    </w:r>
  </w:p>
  <w:tbl>
    <w:tblPr>
      <w:tblW w:w="9360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20"/>
      <w:gridCol w:w="464"/>
      <w:gridCol w:w="5576"/>
    </w:tblGrid>
    <w:tr w:rsidR="005500B5" w14:paraId="41AA3F2B" w14:textId="77777777" w:rsidTr="00DE23E4">
      <w:tc>
        <w:tcPr>
          <w:tcW w:w="3320" w:type="dxa"/>
          <w:vAlign w:val="bottom"/>
        </w:tcPr>
        <w:p w14:paraId="7ACBD6F1" w14:textId="77777777" w:rsidR="005500B5" w:rsidRPr="00F90BF0" w:rsidRDefault="005500B5" w:rsidP="005500B5">
          <w:pPr>
            <w:spacing w:after="0" w:line="240" w:lineRule="auto"/>
            <w:rPr>
              <w:rFonts w:ascii="Arial" w:hAnsi="Arial"/>
              <w:color w:val="000000"/>
              <w:sz w:val="16"/>
              <w:szCs w:val="16"/>
            </w:rPr>
          </w:pPr>
        </w:p>
        <w:p w14:paraId="7901CE43" w14:textId="77777777" w:rsidR="005500B5" w:rsidRPr="00F90BF0" w:rsidRDefault="005500B5" w:rsidP="005500B5">
          <w:pPr>
            <w:spacing w:after="0" w:line="240" w:lineRule="auto"/>
            <w:rPr>
              <w:sz w:val="16"/>
              <w:szCs w:val="16"/>
            </w:rPr>
          </w:pPr>
          <w:r w:rsidRPr="00F90BF0">
            <w:rPr>
              <w:rFonts w:ascii="Arial" w:hAnsi="Arial"/>
              <w:color w:val="000000"/>
              <w:sz w:val="16"/>
              <w:szCs w:val="16"/>
            </w:rPr>
            <w:t>Copyright Lexipol 2020, All Rights Reserved.</w:t>
          </w:r>
        </w:p>
        <w:p w14:paraId="5552E423" w14:textId="77777777" w:rsidR="005500B5" w:rsidRPr="00F90BF0" w:rsidRDefault="005500B5" w:rsidP="005500B5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64" w:type="dxa"/>
        </w:tcPr>
        <w:p w14:paraId="68070008" w14:textId="77777777" w:rsidR="005500B5" w:rsidRPr="00F90BF0" w:rsidRDefault="005500B5" w:rsidP="005500B5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576" w:type="dxa"/>
        </w:tcPr>
        <w:p w14:paraId="6F9933A1" w14:textId="77777777" w:rsidR="005500B5" w:rsidRPr="00F90BF0" w:rsidRDefault="005500B5" w:rsidP="005500B5">
          <w:pPr>
            <w:spacing w:after="0" w:line="240" w:lineRule="auto"/>
            <w:jc w:val="right"/>
            <w:rPr>
              <w:rFonts w:ascii="Arial" w:hAnsi="Arial"/>
              <w:color w:val="000000"/>
              <w:sz w:val="16"/>
              <w:szCs w:val="16"/>
            </w:rPr>
          </w:pPr>
        </w:p>
        <w:p w14:paraId="635EA9F0" w14:textId="77777777" w:rsidR="005500B5" w:rsidRPr="00F90BF0" w:rsidRDefault="005500B5" w:rsidP="005500B5">
          <w:pPr>
            <w:spacing w:after="0" w:line="240" w:lineRule="auto"/>
            <w:jc w:val="right"/>
            <w:rPr>
              <w:sz w:val="16"/>
              <w:szCs w:val="16"/>
            </w:rPr>
          </w:pPr>
          <w:r w:rsidRPr="00F90BF0">
            <w:rPr>
              <w:rFonts w:ascii="Arial" w:eastAsia="Times New Roman" w:hAnsi="Arial" w:cs="Arial"/>
              <w:sz w:val="16"/>
              <w:szCs w:val="16"/>
            </w:rPr>
            <w:t xml:space="preserve">Contact us for the full manual at </w:t>
          </w:r>
          <w:hyperlink r:id="rId1" w:history="1">
            <w:r w:rsidRPr="00F90BF0">
              <w:rPr>
                <w:rStyle w:val="Hyperlink"/>
                <w:rFonts w:ascii="Arial" w:hAnsi="Arial" w:cs="Arial"/>
                <w:sz w:val="16"/>
                <w:szCs w:val="16"/>
              </w:rPr>
              <w:t>info@lexipol.com</w:t>
            </w:r>
          </w:hyperlink>
          <w:r w:rsidRPr="00F90BF0">
            <w:rPr>
              <w:rFonts w:ascii="Arial" w:hAnsi="Arial" w:cs="Arial"/>
              <w:sz w:val="16"/>
              <w:szCs w:val="16"/>
            </w:rPr>
            <w:t xml:space="preserve"> or 844-312-9500</w:t>
          </w:r>
          <w:r>
            <w:rPr>
              <w:rFonts w:ascii="Arial" w:hAnsi="Arial" w:cs="Arial"/>
              <w:sz w:val="16"/>
              <w:szCs w:val="16"/>
            </w:rPr>
            <w:t xml:space="preserve">   </w:t>
          </w:r>
          <w:r>
            <w:rPr>
              <w:rFonts w:ascii="Arial" w:hAnsi="Arial"/>
              <w:color w:val="000000"/>
              <w:sz w:val="16"/>
              <w:szCs w:val="16"/>
            </w:rPr>
            <w:t xml:space="preserve">    </w:t>
          </w:r>
          <w:r w:rsidRPr="00F90BF0">
            <w:rPr>
              <w:rFonts w:ascii="Arial" w:hAnsi="Arial"/>
              <w:color w:val="000000"/>
              <w:sz w:val="16"/>
              <w:szCs w:val="16"/>
            </w:rPr>
            <w:t xml:space="preserve"> </w:t>
          </w:r>
          <w:r>
            <w:rPr>
              <w:rFonts w:ascii="Arial" w:hAnsi="Arial"/>
              <w:color w:val="000000"/>
              <w:sz w:val="16"/>
              <w:szCs w:val="16"/>
            </w:rPr>
            <w:t xml:space="preserve">       </w:t>
          </w:r>
          <w:r w:rsidRPr="00F90BF0">
            <w:rPr>
              <w:rFonts w:ascii="Arial" w:hAnsi="Arial"/>
              <w:color w:val="000000"/>
              <w:sz w:val="16"/>
              <w:szCs w:val="16"/>
            </w:rPr>
            <w:pgNum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924F" w14:textId="77777777" w:rsidR="005F0D0C" w:rsidRDefault="005235C3">
    <w:pPr>
      <w:tabs>
        <w:tab w:val="right" w:leader="underscore" w:pos="9340"/>
      </w:tabs>
      <w:spacing w:after="0" w:line="240" w:lineRule="auto"/>
    </w:pPr>
    <w:r>
      <w:rPr>
        <w:rFonts w:ascii="Times New Roman" w:hAnsi="Times New Roman"/>
        <w:color w:val="000000"/>
        <w:sz w:val="24"/>
      </w:rPr>
      <w:tab/>
    </w:r>
  </w:p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744"/>
      <w:gridCol w:w="1872"/>
      <w:gridCol w:w="3744"/>
    </w:tblGrid>
    <w:tr w:rsidR="005F0D0C" w14:paraId="73469254" w14:textId="77777777">
      <w:tc>
        <w:tcPr>
          <w:tcW w:w="3744" w:type="dxa"/>
        </w:tcPr>
        <w:p w14:paraId="73469250" w14:textId="77777777" w:rsidR="005F0D0C" w:rsidRDefault="005235C3">
          <w:pPr>
            <w:spacing w:after="0" w:line="240" w:lineRule="auto"/>
          </w:pPr>
          <w:r>
            <w:rPr>
              <w:rFonts w:ascii="Arial" w:hAnsi="Arial"/>
              <w:color w:val="000000"/>
              <w:sz w:val="14"/>
            </w:rPr>
            <w:t>Copyright Lexipol, LLC 2019/10/15, All Rights Reserved.</w:t>
          </w:r>
        </w:p>
        <w:p w14:paraId="73469251" w14:textId="77777777" w:rsidR="005F0D0C" w:rsidRDefault="005235C3">
          <w:pPr>
            <w:spacing w:after="0" w:line="240" w:lineRule="auto"/>
          </w:pPr>
          <w:r>
            <w:rPr>
              <w:rFonts w:ascii="Arial" w:hAnsi="Arial"/>
              <w:color w:val="000000"/>
              <w:sz w:val="14"/>
            </w:rPr>
            <w:t>Published with permission by Lexipol Global Master Agency</w:t>
          </w:r>
        </w:p>
      </w:tc>
      <w:tc>
        <w:tcPr>
          <w:tcW w:w="1872" w:type="dxa"/>
        </w:tcPr>
        <w:p w14:paraId="73469252" w14:textId="77777777" w:rsidR="005F0D0C" w:rsidRDefault="005F0D0C">
          <w:pPr>
            <w:spacing w:after="0" w:line="240" w:lineRule="auto"/>
          </w:pPr>
        </w:p>
      </w:tc>
      <w:tc>
        <w:tcPr>
          <w:tcW w:w="3744" w:type="dxa"/>
        </w:tcPr>
        <w:p w14:paraId="73469253" w14:textId="77777777" w:rsidR="005F0D0C" w:rsidRDefault="005235C3">
          <w:pPr>
            <w:spacing w:after="0" w:line="240" w:lineRule="auto"/>
            <w:jc w:val="right"/>
          </w:pPr>
          <w:r>
            <w:rPr>
              <w:rFonts w:ascii="Arial" w:hAnsi="Arial"/>
              <w:color w:val="000000"/>
              <w:sz w:val="18"/>
            </w:rPr>
            <w:t xml:space="preserve">*** Emergency Management Plan *** - </w:t>
          </w:r>
          <w:r>
            <w:rPr>
              <w:rFonts w:ascii="Arial" w:hAnsi="Arial"/>
              <w:color w:val="000000"/>
              <w:sz w:val="18"/>
            </w:rPr>
            <w:pgNum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0ABC" w14:textId="77777777" w:rsidR="005500B5" w:rsidRPr="00F90BF0" w:rsidRDefault="005500B5" w:rsidP="005500B5">
    <w:pPr>
      <w:tabs>
        <w:tab w:val="right" w:leader="underscore" w:pos="9340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F90BF0">
      <w:rPr>
        <w:rFonts w:ascii="Arial" w:hAnsi="Arial" w:cs="Arial"/>
        <w:color w:val="000000"/>
        <w:sz w:val="16"/>
        <w:szCs w:val="16"/>
      </w:rPr>
      <w:br/>
    </w:r>
    <w:r w:rsidRPr="00F90BF0">
      <w:rPr>
        <w:rFonts w:ascii="Arial" w:hAnsi="Arial" w:cs="Arial"/>
        <w:color w:val="000000"/>
        <w:sz w:val="16"/>
        <w:szCs w:val="16"/>
      </w:rPr>
      <w:tab/>
    </w:r>
  </w:p>
  <w:tbl>
    <w:tblPr>
      <w:tblW w:w="9360" w:type="dxa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20"/>
      <w:gridCol w:w="464"/>
      <w:gridCol w:w="5576"/>
    </w:tblGrid>
    <w:tr w:rsidR="005500B5" w14:paraId="17BE169D" w14:textId="77777777" w:rsidTr="00DE23E4">
      <w:tc>
        <w:tcPr>
          <w:tcW w:w="3320" w:type="dxa"/>
          <w:vAlign w:val="bottom"/>
        </w:tcPr>
        <w:p w14:paraId="5CEBA1C4" w14:textId="77777777" w:rsidR="005500B5" w:rsidRPr="00F90BF0" w:rsidRDefault="005500B5" w:rsidP="005500B5">
          <w:pPr>
            <w:spacing w:after="0" w:line="240" w:lineRule="auto"/>
            <w:rPr>
              <w:rFonts w:ascii="Arial" w:hAnsi="Arial"/>
              <w:color w:val="000000"/>
              <w:sz w:val="16"/>
              <w:szCs w:val="16"/>
            </w:rPr>
          </w:pPr>
        </w:p>
        <w:p w14:paraId="56A9C361" w14:textId="77777777" w:rsidR="005500B5" w:rsidRPr="00F90BF0" w:rsidRDefault="005500B5" w:rsidP="005500B5">
          <w:pPr>
            <w:spacing w:after="0" w:line="240" w:lineRule="auto"/>
            <w:rPr>
              <w:sz w:val="16"/>
              <w:szCs w:val="16"/>
            </w:rPr>
          </w:pPr>
          <w:r w:rsidRPr="00F90BF0">
            <w:rPr>
              <w:rFonts w:ascii="Arial" w:hAnsi="Arial"/>
              <w:color w:val="000000"/>
              <w:sz w:val="16"/>
              <w:szCs w:val="16"/>
            </w:rPr>
            <w:t>Copyright Lexipol 2020, All Rights Reserved.</w:t>
          </w:r>
        </w:p>
        <w:p w14:paraId="49B93EA6" w14:textId="77777777" w:rsidR="005500B5" w:rsidRPr="00F90BF0" w:rsidRDefault="005500B5" w:rsidP="005500B5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64" w:type="dxa"/>
        </w:tcPr>
        <w:p w14:paraId="62A53B0C" w14:textId="77777777" w:rsidR="005500B5" w:rsidRPr="00F90BF0" w:rsidRDefault="005500B5" w:rsidP="005500B5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576" w:type="dxa"/>
        </w:tcPr>
        <w:p w14:paraId="77D725E8" w14:textId="77777777" w:rsidR="005500B5" w:rsidRPr="00F90BF0" w:rsidRDefault="005500B5" w:rsidP="005500B5">
          <w:pPr>
            <w:spacing w:after="0" w:line="240" w:lineRule="auto"/>
            <w:jc w:val="right"/>
            <w:rPr>
              <w:rFonts w:ascii="Arial" w:hAnsi="Arial"/>
              <w:color w:val="000000"/>
              <w:sz w:val="16"/>
              <w:szCs w:val="16"/>
            </w:rPr>
          </w:pPr>
        </w:p>
        <w:p w14:paraId="13D61A5D" w14:textId="77777777" w:rsidR="005500B5" w:rsidRPr="00F90BF0" w:rsidRDefault="005500B5" w:rsidP="005500B5">
          <w:pPr>
            <w:spacing w:after="0" w:line="240" w:lineRule="auto"/>
            <w:jc w:val="right"/>
            <w:rPr>
              <w:sz w:val="16"/>
              <w:szCs w:val="16"/>
            </w:rPr>
          </w:pPr>
          <w:r w:rsidRPr="00F90BF0">
            <w:rPr>
              <w:rFonts w:ascii="Arial" w:eastAsia="Times New Roman" w:hAnsi="Arial" w:cs="Arial"/>
              <w:sz w:val="16"/>
              <w:szCs w:val="16"/>
            </w:rPr>
            <w:t xml:space="preserve">Contact us for the full manual at </w:t>
          </w:r>
          <w:hyperlink r:id="rId1" w:history="1">
            <w:r w:rsidRPr="00F90BF0">
              <w:rPr>
                <w:rStyle w:val="Hyperlink"/>
                <w:rFonts w:ascii="Arial" w:hAnsi="Arial" w:cs="Arial"/>
                <w:sz w:val="16"/>
                <w:szCs w:val="16"/>
              </w:rPr>
              <w:t>info@lexipol.com</w:t>
            </w:r>
          </w:hyperlink>
          <w:r w:rsidRPr="00F90BF0">
            <w:rPr>
              <w:rFonts w:ascii="Arial" w:hAnsi="Arial" w:cs="Arial"/>
              <w:sz w:val="16"/>
              <w:szCs w:val="16"/>
            </w:rPr>
            <w:t xml:space="preserve"> or 844-312-9500</w:t>
          </w:r>
          <w:r>
            <w:rPr>
              <w:rFonts w:ascii="Arial" w:hAnsi="Arial" w:cs="Arial"/>
              <w:sz w:val="16"/>
              <w:szCs w:val="16"/>
            </w:rPr>
            <w:t xml:space="preserve">   </w:t>
          </w:r>
          <w:r>
            <w:rPr>
              <w:rFonts w:ascii="Arial" w:hAnsi="Arial"/>
              <w:color w:val="000000"/>
              <w:sz w:val="16"/>
              <w:szCs w:val="16"/>
            </w:rPr>
            <w:t xml:space="preserve">    </w:t>
          </w:r>
          <w:r w:rsidRPr="00F90BF0">
            <w:rPr>
              <w:rFonts w:ascii="Arial" w:hAnsi="Arial"/>
              <w:color w:val="000000"/>
              <w:sz w:val="16"/>
              <w:szCs w:val="16"/>
            </w:rPr>
            <w:t xml:space="preserve"> </w:t>
          </w:r>
          <w:r>
            <w:rPr>
              <w:rFonts w:ascii="Arial" w:hAnsi="Arial"/>
              <w:color w:val="000000"/>
              <w:sz w:val="16"/>
              <w:szCs w:val="16"/>
            </w:rPr>
            <w:t xml:space="preserve">       </w:t>
          </w:r>
          <w:r w:rsidRPr="00F90BF0">
            <w:rPr>
              <w:rFonts w:ascii="Arial" w:hAnsi="Arial"/>
              <w:color w:val="000000"/>
              <w:sz w:val="16"/>
              <w:szCs w:val="16"/>
            </w:rP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C327" w14:textId="77777777" w:rsidR="00CD53C7" w:rsidRDefault="00CD53C7">
      <w:pPr>
        <w:spacing w:after="0" w:line="240" w:lineRule="auto"/>
      </w:pPr>
      <w:r>
        <w:separator/>
      </w:r>
    </w:p>
  </w:footnote>
  <w:footnote w:type="continuationSeparator" w:id="0">
    <w:p w14:paraId="298ABE19" w14:textId="77777777" w:rsidR="00CD53C7" w:rsidRDefault="00CD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9243" w14:textId="5168C0D6" w:rsidR="005F0D0C" w:rsidRDefault="0033410C">
    <w:pPr>
      <w:pBdr>
        <w:top w:val="none" w:sz="0" w:space="18" w:color="auto"/>
      </w:pBdr>
      <w:spacing w:after="0" w:line="240" w:lineRule="auto"/>
    </w:pPr>
    <w:r>
      <w:rPr>
        <w:noProof/>
      </w:rPr>
      <w:drawing>
        <wp:inline distT="0" distB="0" distL="0" distR="0" wp14:anchorId="6056BC63" wp14:editId="7A861739">
          <wp:extent cx="2019936" cy="483325"/>
          <wp:effectExtent l="0" t="0" r="0" b="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xipol_2018-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27" cy="502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i/>
        <w:color w:val="000000"/>
        <w:sz w:val="24"/>
      </w:rPr>
      <w:br/>
    </w:r>
    <w:r w:rsidR="005235C3">
      <w:rPr>
        <w:rFonts w:ascii="Arial" w:hAnsi="Arial"/>
        <w:i/>
        <w:color w:val="000000"/>
        <w:sz w:val="24"/>
      </w:rPr>
      <w:t>Emergency Management Plan</w:t>
    </w:r>
  </w:p>
  <w:p w14:paraId="73469244" w14:textId="77777777" w:rsidR="005F0D0C" w:rsidRDefault="005235C3">
    <w:pPr>
      <w:tabs>
        <w:tab w:val="right" w:leader="underscore" w:pos="9340"/>
      </w:tabs>
      <w:spacing w:after="0" w:line="240" w:lineRule="auto"/>
    </w:pPr>
    <w:r>
      <w:rPr>
        <w:rFonts w:ascii="Times New Roman" w:hAnsi="Times New Roman"/>
        <w:color w:val="000000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9245" w14:textId="77777777" w:rsidR="005F0D0C" w:rsidRDefault="005235C3">
    <w:pPr>
      <w:spacing w:after="0" w:line="240" w:lineRule="auto"/>
      <w:jc w:val="center"/>
    </w:pPr>
    <w:r>
      <w:rPr>
        <w:rFonts w:ascii="Arial" w:hAnsi="Arial"/>
        <w:color w:val="000000"/>
        <w:sz w:val="30"/>
      </w:rPr>
      <w:t>Lexipol Global Master Agency</w:t>
    </w:r>
  </w:p>
  <w:p w14:paraId="73469246" w14:textId="77777777" w:rsidR="005F0D0C" w:rsidRDefault="005235C3">
    <w:pPr>
      <w:spacing w:after="0" w:line="240" w:lineRule="auto"/>
      <w:jc w:val="center"/>
    </w:pPr>
    <w:r>
      <w:rPr>
        <w:rFonts w:ascii="Arial" w:hAnsi="Arial"/>
        <w:color w:val="000000"/>
        <w:sz w:val="18"/>
      </w:rPr>
      <w:t>Global LE Policy Manual</w:t>
    </w:r>
  </w:p>
  <w:p w14:paraId="73469247" w14:textId="77777777" w:rsidR="005F0D0C" w:rsidRDefault="005235C3">
    <w:pPr>
      <w:pBdr>
        <w:top w:val="none" w:sz="0" w:space="18" w:color="auto"/>
      </w:pBdr>
      <w:spacing w:after="0" w:line="240" w:lineRule="auto"/>
    </w:pPr>
    <w:r>
      <w:rPr>
        <w:rFonts w:ascii="Arial" w:hAnsi="Arial"/>
        <w:i/>
        <w:color w:val="000000"/>
        <w:sz w:val="24"/>
      </w:rPr>
      <w:t>*** Emergency Management Plan ***</w:t>
    </w:r>
  </w:p>
  <w:p w14:paraId="73469248" w14:textId="77777777" w:rsidR="005F0D0C" w:rsidRDefault="005235C3">
    <w:pPr>
      <w:tabs>
        <w:tab w:val="right" w:leader="underscore" w:pos="9340"/>
      </w:tabs>
      <w:spacing w:after="0" w:line="240" w:lineRule="auto"/>
    </w:pPr>
    <w:r>
      <w:rPr>
        <w:rFonts w:ascii="Times New Roman" w:hAnsi="Times New Roman"/>
        <w:color w:val="000000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600"/>
      <w:gridCol w:w="40"/>
    </w:tblGrid>
    <w:tr w:rsidR="004611FD" w14:paraId="4BBCADD5" w14:textId="77777777" w:rsidTr="00DE23E4">
      <w:trPr>
        <w:trHeight w:val="720"/>
      </w:trPr>
      <w:tc>
        <w:tcPr>
          <w:tcW w:w="8600" w:type="dxa"/>
          <w:shd w:val="clear" w:color="auto" w:fill="FFFFFF" w:themeFill="background1"/>
          <w:tcMar>
            <w:top w:w="180" w:type="dxa"/>
            <w:bottom w:w="90" w:type="dxa"/>
          </w:tcMar>
        </w:tcPr>
        <w:p w14:paraId="627AA958" w14:textId="77777777" w:rsidR="004611FD" w:rsidRDefault="004611FD" w:rsidP="004611F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065A62A" wp14:editId="76A44E4E">
                <wp:extent cx="2019936" cy="483325"/>
                <wp:effectExtent l="0" t="0" r="0" b="0"/>
                <wp:docPr id="5" name="Picture 5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exipol_2018-logo_fu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527" cy="502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" w:type="dxa"/>
          <w:tcMar>
            <w:top w:w="180" w:type="dxa"/>
          </w:tcMar>
        </w:tcPr>
        <w:p w14:paraId="16BF80CB" w14:textId="77777777" w:rsidR="004611FD" w:rsidRDefault="004611FD" w:rsidP="004611FD">
          <w:pPr>
            <w:spacing w:after="0" w:line="240" w:lineRule="auto"/>
            <w:jc w:val="center"/>
          </w:pPr>
        </w:p>
      </w:tc>
    </w:tr>
  </w:tbl>
  <w:p w14:paraId="7346925A" w14:textId="77777777" w:rsidR="005F0D0C" w:rsidRDefault="005235C3">
    <w:pPr>
      <w:tabs>
        <w:tab w:val="right" w:leader="underscore" w:pos="9340"/>
      </w:tabs>
      <w:spacing w:after="0" w:line="240" w:lineRule="auto"/>
    </w:pPr>
    <w:r>
      <w:rPr>
        <w:rFonts w:ascii="Times New Roman" w:hAnsi="Times New Roman"/>
        <w:color w:val="000000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0C"/>
    <w:rsid w:val="00017A64"/>
    <w:rsid w:val="00043E0C"/>
    <w:rsid w:val="000526DE"/>
    <w:rsid w:val="000A104C"/>
    <w:rsid w:val="000A4D4A"/>
    <w:rsid w:val="000C6FCD"/>
    <w:rsid w:val="000E66F9"/>
    <w:rsid w:val="000F1F18"/>
    <w:rsid w:val="000F6AD6"/>
    <w:rsid w:val="001035E4"/>
    <w:rsid w:val="001978C7"/>
    <w:rsid w:val="001A46EF"/>
    <w:rsid w:val="001C55F8"/>
    <w:rsid w:val="001F6B82"/>
    <w:rsid w:val="00201B4F"/>
    <w:rsid w:val="00211D53"/>
    <w:rsid w:val="00212B95"/>
    <w:rsid w:val="00225A5A"/>
    <w:rsid w:val="00235A3A"/>
    <w:rsid w:val="00240F4E"/>
    <w:rsid w:val="002638C0"/>
    <w:rsid w:val="0026680E"/>
    <w:rsid w:val="00283B40"/>
    <w:rsid w:val="00297827"/>
    <w:rsid w:val="002A0386"/>
    <w:rsid w:val="002A560A"/>
    <w:rsid w:val="002B3822"/>
    <w:rsid w:val="002E539F"/>
    <w:rsid w:val="002F1181"/>
    <w:rsid w:val="002F1F7E"/>
    <w:rsid w:val="003208C0"/>
    <w:rsid w:val="003316E8"/>
    <w:rsid w:val="0033410C"/>
    <w:rsid w:val="003359CA"/>
    <w:rsid w:val="00340F3C"/>
    <w:rsid w:val="00356C31"/>
    <w:rsid w:val="00365D19"/>
    <w:rsid w:val="003679C9"/>
    <w:rsid w:val="003839CC"/>
    <w:rsid w:val="00385856"/>
    <w:rsid w:val="003872E4"/>
    <w:rsid w:val="003927E5"/>
    <w:rsid w:val="003A5FA1"/>
    <w:rsid w:val="003C1873"/>
    <w:rsid w:val="003D2AAA"/>
    <w:rsid w:val="003F5F16"/>
    <w:rsid w:val="0044246E"/>
    <w:rsid w:val="004611FD"/>
    <w:rsid w:val="00485456"/>
    <w:rsid w:val="00495DF9"/>
    <w:rsid w:val="004965E3"/>
    <w:rsid w:val="004A098D"/>
    <w:rsid w:val="004A7B34"/>
    <w:rsid w:val="004C29EA"/>
    <w:rsid w:val="004D2134"/>
    <w:rsid w:val="004F1D5F"/>
    <w:rsid w:val="00501A1B"/>
    <w:rsid w:val="005066FF"/>
    <w:rsid w:val="0052139F"/>
    <w:rsid w:val="005235C3"/>
    <w:rsid w:val="005306F1"/>
    <w:rsid w:val="00533005"/>
    <w:rsid w:val="0054004A"/>
    <w:rsid w:val="00540CBF"/>
    <w:rsid w:val="005500B5"/>
    <w:rsid w:val="005C3552"/>
    <w:rsid w:val="005D51CA"/>
    <w:rsid w:val="005D69C2"/>
    <w:rsid w:val="005F0D0C"/>
    <w:rsid w:val="0060174A"/>
    <w:rsid w:val="00652A94"/>
    <w:rsid w:val="00653C7A"/>
    <w:rsid w:val="0065717C"/>
    <w:rsid w:val="006C07E6"/>
    <w:rsid w:val="00721EC2"/>
    <w:rsid w:val="00723BEE"/>
    <w:rsid w:val="00732926"/>
    <w:rsid w:val="00756E92"/>
    <w:rsid w:val="007621D4"/>
    <w:rsid w:val="00782295"/>
    <w:rsid w:val="0078348F"/>
    <w:rsid w:val="00795C3F"/>
    <w:rsid w:val="007A3240"/>
    <w:rsid w:val="007C447A"/>
    <w:rsid w:val="007C74EC"/>
    <w:rsid w:val="00835FDB"/>
    <w:rsid w:val="00855A4F"/>
    <w:rsid w:val="0088005A"/>
    <w:rsid w:val="00885948"/>
    <w:rsid w:val="008C5322"/>
    <w:rsid w:val="00914BBC"/>
    <w:rsid w:val="00944952"/>
    <w:rsid w:val="009565BB"/>
    <w:rsid w:val="00961B16"/>
    <w:rsid w:val="00970091"/>
    <w:rsid w:val="009727B3"/>
    <w:rsid w:val="00974A56"/>
    <w:rsid w:val="00982BDD"/>
    <w:rsid w:val="009A08CA"/>
    <w:rsid w:val="009C0B50"/>
    <w:rsid w:val="009E0D36"/>
    <w:rsid w:val="009F47B6"/>
    <w:rsid w:val="00A1516C"/>
    <w:rsid w:val="00A30CD5"/>
    <w:rsid w:val="00A61FA0"/>
    <w:rsid w:val="00A80005"/>
    <w:rsid w:val="00A86424"/>
    <w:rsid w:val="00A96D17"/>
    <w:rsid w:val="00AB04AC"/>
    <w:rsid w:val="00AB785B"/>
    <w:rsid w:val="00AB7E2C"/>
    <w:rsid w:val="00AB7E41"/>
    <w:rsid w:val="00AC4B78"/>
    <w:rsid w:val="00AC632D"/>
    <w:rsid w:val="00AE298E"/>
    <w:rsid w:val="00AF055C"/>
    <w:rsid w:val="00AF7B72"/>
    <w:rsid w:val="00B26EE5"/>
    <w:rsid w:val="00B3035B"/>
    <w:rsid w:val="00B31310"/>
    <w:rsid w:val="00B75607"/>
    <w:rsid w:val="00B8345B"/>
    <w:rsid w:val="00B84AF2"/>
    <w:rsid w:val="00B87F85"/>
    <w:rsid w:val="00B90CFC"/>
    <w:rsid w:val="00BA314B"/>
    <w:rsid w:val="00BA7586"/>
    <w:rsid w:val="00C31DDB"/>
    <w:rsid w:val="00C37C3F"/>
    <w:rsid w:val="00C67D1A"/>
    <w:rsid w:val="00CA345F"/>
    <w:rsid w:val="00CA6C0C"/>
    <w:rsid w:val="00CB085C"/>
    <w:rsid w:val="00CD1019"/>
    <w:rsid w:val="00CD3323"/>
    <w:rsid w:val="00CD53C7"/>
    <w:rsid w:val="00CE6A5F"/>
    <w:rsid w:val="00CF3054"/>
    <w:rsid w:val="00D47574"/>
    <w:rsid w:val="00D57AB6"/>
    <w:rsid w:val="00DB1157"/>
    <w:rsid w:val="00DB1BF0"/>
    <w:rsid w:val="00DC0DC8"/>
    <w:rsid w:val="00DD25FC"/>
    <w:rsid w:val="00DF1D05"/>
    <w:rsid w:val="00DF7AE4"/>
    <w:rsid w:val="00E26E28"/>
    <w:rsid w:val="00E67387"/>
    <w:rsid w:val="00E925BF"/>
    <w:rsid w:val="00E9511E"/>
    <w:rsid w:val="00E95286"/>
    <w:rsid w:val="00E97AC3"/>
    <w:rsid w:val="00EB20FA"/>
    <w:rsid w:val="00EB39CA"/>
    <w:rsid w:val="00EC1A19"/>
    <w:rsid w:val="00ED6821"/>
    <w:rsid w:val="00EE12CD"/>
    <w:rsid w:val="00F34FFA"/>
    <w:rsid w:val="00F4065C"/>
    <w:rsid w:val="00F713EA"/>
    <w:rsid w:val="00F74F65"/>
    <w:rsid w:val="00FA5325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46921D"/>
  <w15:docId w15:val="{4B7EBA29-EA1A-463D-BE26-E2B43B9E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1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A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632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550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0B5"/>
  </w:style>
  <w:style w:type="character" w:styleId="Hyperlink">
    <w:name w:val="Hyperlink"/>
    <w:basedOn w:val="DefaultParagraphFont"/>
    <w:uiPriority w:val="99"/>
    <w:unhideWhenUsed/>
    <w:rsid w:val="005500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xipo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xi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Video_x0020_Create_x0020_Date xmlns="5b59bf7f-4eae-48bb-9070-7874b01ffb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655770AAF6B41999B7B7EE8D57FB4" ma:contentTypeVersion="16" ma:contentTypeDescription="Create a new document." ma:contentTypeScope="" ma:versionID="f983320dad7f9507c5901ff5c67952b0">
  <xsd:schema xmlns:xsd="http://www.w3.org/2001/XMLSchema" xmlns:xs="http://www.w3.org/2001/XMLSchema" xmlns:p="http://schemas.microsoft.com/office/2006/metadata/properties" xmlns:ns1="http://schemas.microsoft.com/sharepoint/v3" xmlns:ns2="17ebf578-2e26-4b36-b400-ab81ebf5bbe9" xmlns:ns3="5b59bf7f-4eae-48bb-9070-7874b01ffb68" targetNamespace="http://schemas.microsoft.com/office/2006/metadata/properties" ma:root="true" ma:fieldsID="c025432e57a917fd00fd4952b2f8e37a" ns1:_="" ns2:_="" ns3:_="">
    <xsd:import namespace="http://schemas.microsoft.com/sharepoint/v3"/>
    <xsd:import namespace="17ebf578-2e26-4b36-b400-ab81ebf5bbe9"/>
    <xsd:import namespace="5b59bf7f-4eae-48bb-9070-7874b01ffb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Video_x0020_Create_x0020_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f578-2e26-4b36-b400-ab81ebf5b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bf7f-4eae-48bb-9070-7874b01ff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Video_x0020_Create_x0020_Date" ma:index="17" nillable="true" ma:displayName="Publish Date" ma:format="DateOnly" ma:internalName="Video_x0020_Create_x0020_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FF4F6-B563-4361-ABD5-68D8023046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ED5F02-8EF7-4BD6-BD63-6DB2B8E1E555}"/>
</file>

<file path=customXml/itemProps3.xml><?xml version="1.0" encoding="utf-8"?>
<ds:datastoreItem xmlns:ds="http://schemas.openxmlformats.org/officeDocument/2006/customXml" ds:itemID="{502B269A-DF41-4E68-8057-79C1B3D9F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Stevens</dc:creator>
  <cp:lastModifiedBy>Tommy Pemberton</cp:lastModifiedBy>
  <cp:revision>23</cp:revision>
  <dcterms:created xsi:type="dcterms:W3CDTF">2020-03-19T22:31:00Z</dcterms:created>
  <dcterms:modified xsi:type="dcterms:W3CDTF">2020-03-23T21:54:00Z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2d03de-8653-446a-837c-cee473cc71db_Enabled">
    <vt:lpwstr>True</vt:lpwstr>
  </property>
  <property fmtid="{D5CDD505-2E9C-101B-9397-08002B2CF9AE}" pid="3" name="MSIP_Label_ab2d03de-8653-446a-837c-cee473cc71db_SiteId">
    <vt:lpwstr>90ff0581-9e84-4a31-856c-71ad7cd5b6cd</vt:lpwstr>
  </property>
  <property fmtid="{D5CDD505-2E9C-101B-9397-08002B2CF9AE}" pid="4" name="MSIP_Label_ab2d03de-8653-446a-837c-cee473cc71db_Owner">
    <vt:lpwstr>bjohnson@lexipol.com</vt:lpwstr>
  </property>
  <property fmtid="{D5CDD505-2E9C-101B-9397-08002B2CF9AE}" pid="5" name="MSIP_Label_ab2d03de-8653-446a-837c-cee473cc71db_SetDate">
    <vt:lpwstr>2019-12-06T18:33:45.5648595Z</vt:lpwstr>
  </property>
  <property fmtid="{D5CDD505-2E9C-101B-9397-08002B2CF9AE}" pid="6" name="MSIP_Label_ab2d03de-8653-446a-837c-cee473cc71db_Name">
    <vt:lpwstr>Lexipol - Internal</vt:lpwstr>
  </property>
  <property fmtid="{D5CDD505-2E9C-101B-9397-08002B2CF9AE}" pid="7" name="MSIP_Label_ab2d03de-8653-446a-837c-cee473cc71db_Application">
    <vt:lpwstr>Microsoft Azure Information Protection</vt:lpwstr>
  </property>
  <property fmtid="{D5CDD505-2E9C-101B-9397-08002B2CF9AE}" pid="8" name="MSIP_Label_ab2d03de-8653-446a-837c-cee473cc71db_ActionId">
    <vt:lpwstr>e9a57a0c-fd4d-4514-94a9-b99f86080ada</vt:lpwstr>
  </property>
  <property fmtid="{D5CDD505-2E9C-101B-9397-08002B2CF9AE}" pid="9" name="MSIP_Label_ab2d03de-8653-446a-837c-cee473cc71db_Extended_MSFT_Method">
    <vt:lpwstr>Automatic</vt:lpwstr>
  </property>
  <property fmtid="{D5CDD505-2E9C-101B-9397-08002B2CF9AE}" pid="10" name="Sensitivity">
    <vt:lpwstr>Lexipol - Internal</vt:lpwstr>
  </property>
  <property fmtid="{D5CDD505-2E9C-101B-9397-08002B2CF9AE}" pid="11" name="ContentTypeId">
    <vt:lpwstr>0x010100CD8655770AAF6B41999B7B7EE8D57FB4</vt:lpwstr>
  </property>
</Properties>
</file>